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0" w:rsidRPr="009805E8" w:rsidRDefault="00C407D6" w:rsidP="00CD0B5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「屏東縣高樹</w:t>
      </w:r>
      <w:r w:rsidR="002F75C0" w:rsidRPr="009805E8">
        <w:rPr>
          <w:rFonts w:ascii="標楷體" w:eastAsia="標楷體" w:hAnsi="標楷體" w:hint="eastAsia"/>
          <w:sz w:val="40"/>
          <w:szCs w:val="40"/>
        </w:rPr>
        <w:t>火化場周邊村民補償金發放自治條例」修正條文對照表</w:t>
      </w:r>
    </w:p>
    <w:tbl>
      <w:tblPr>
        <w:tblStyle w:val="a3"/>
        <w:tblW w:w="9146" w:type="dxa"/>
        <w:tblLook w:val="04A0" w:firstRow="1" w:lastRow="0" w:firstColumn="1" w:lastColumn="0" w:noHBand="0" w:noVBand="1"/>
      </w:tblPr>
      <w:tblGrid>
        <w:gridCol w:w="3510"/>
        <w:gridCol w:w="3545"/>
        <w:gridCol w:w="2091"/>
      </w:tblGrid>
      <w:tr w:rsidR="002F75C0" w:rsidRPr="00CD0B50" w:rsidTr="00667500">
        <w:trPr>
          <w:trHeight w:val="393"/>
        </w:trPr>
        <w:tc>
          <w:tcPr>
            <w:tcW w:w="3510" w:type="dxa"/>
            <w:vAlign w:val="center"/>
          </w:tcPr>
          <w:p w:rsidR="002F75C0" w:rsidRPr="00CD0B50" w:rsidRDefault="002F75C0" w:rsidP="00C40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0B50">
              <w:rPr>
                <w:rFonts w:ascii="標楷體" w:eastAsia="標楷體" w:hAnsi="標楷體"/>
                <w:szCs w:val="24"/>
              </w:rPr>
              <w:t>修正條文</w:t>
            </w:r>
          </w:p>
        </w:tc>
        <w:tc>
          <w:tcPr>
            <w:tcW w:w="3545" w:type="dxa"/>
            <w:vAlign w:val="center"/>
          </w:tcPr>
          <w:p w:rsidR="002F75C0" w:rsidRPr="00CD0B50" w:rsidRDefault="002F75C0" w:rsidP="00C40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0B50">
              <w:rPr>
                <w:rFonts w:ascii="標楷體" w:eastAsia="標楷體" w:hAnsi="標楷體"/>
                <w:szCs w:val="24"/>
              </w:rPr>
              <w:t>現行條文</w:t>
            </w:r>
          </w:p>
        </w:tc>
        <w:tc>
          <w:tcPr>
            <w:tcW w:w="2091" w:type="dxa"/>
            <w:vAlign w:val="center"/>
          </w:tcPr>
          <w:p w:rsidR="002F75C0" w:rsidRPr="00CD0B50" w:rsidRDefault="002F75C0" w:rsidP="00C407D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D0B50">
              <w:rPr>
                <w:rFonts w:ascii="標楷體" w:eastAsia="標楷體" w:hAnsi="標楷體"/>
                <w:szCs w:val="24"/>
              </w:rPr>
              <w:t>說明</w:t>
            </w:r>
          </w:p>
        </w:tc>
      </w:tr>
      <w:tr w:rsidR="009805E8" w:rsidRPr="00CD0B50" w:rsidTr="00667500">
        <w:trPr>
          <w:trHeight w:val="2126"/>
        </w:trPr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6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第一條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6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屏東縣高樹鄉</w:t>
            </w:r>
            <w:r w:rsidRPr="00CD0B50">
              <w:rPr>
                <w:rFonts w:ascii="標楷體" w:eastAsia="標楷體" w:hAnsi="標楷體" w:cs="Times New Roman" w:hint="eastAsia"/>
              </w:rPr>
              <w:t>(</w:t>
            </w:r>
            <w:r w:rsidRPr="00CD0B50">
              <w:rPr>
                <w:rFonts w:ascii="標楷體" w:eastAsia="標楷體" w:hAnsi="標楷體" w:hint="eastAsia"/>
              </w:rPr>
              <w:t>以下簡稱本</w:t>
            </w:r>
            <w:r w:rsidRPr="00667500">
              <w:rPr>
                <w:rFonts w:ascii="標楷體" w:eastAsia="標楷體" w:hAnsi="標楷體" w:hint="eastAsia"/>
                <w:u w:val="single"/>
              </w:rPr>
              <w:t>鄉</w:t>
            </w:r>
            <w:r w:rsidRPr="00CD0B50">
              <w:rPr>
                <w:rFonts w:ascii="標楷體" w:eastAsia="標楷體" w:hAnsi="標楷體" w:cs="Times New Roman" w:hint="eastAsia"/>
              </w:rPr>
              <w:t>)</w:t>
            </w:r>
            <w:r w:rsidRPr="00CD0B50">
              <w:rPr>
                <w:rFonts w:ascii="標楷體" w:eastAsia="標楷體" w:hAnsi="標楷體" w:hint="eastAsia"/>
              </w:rPr>
              <w:t>火化場所在地位於</w:t>
            </w:r>
            <w:r w:rsidRPr="00667500">
              <w:rPr>
                <w:rFonts w:ascii="標楷體" w:eastAsia="標楷體" w:hAnsi="標楷體" w:hint="eastAsia"/>
                <w:u w:val="single"/>
              </w:rPr>
              <w:t>本鄉</w:t>
            </w:r>
            <w:r w:rsidRPr="00CD0B50">
              <w:rPr>
                <w:rFonts w:ascii="標楷體" w:eastAsia="標楷體" w:hAnsi="標楷體" w:hint="eastAsia"/>
              </w:rPr>
              <w:t>東興村，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且緊臨東振村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，</w:t>
            </w:r>
            <w:r w:rsidRPr="00667500">
              <w:rPr>
                <w:rFonts w:ascii="標楷體" w:eastAsia="標楷體" w:hAnsi="標楷體" w:hint="eastAsia"/>
                <w:u w:val="single"/>
              </w:rPr>
              <w:t>為落實公共福利政策，補償村民所受損害</w:t>
            </w:r>
            <w:r w:rsidRPr="00CD0B50">
              <w:rPr>
                <w:rFonts w:ascii="標楷體" w:eastAsia="標楷體" w:hAnsi="標楷體" w:hint="eastAsia"/>
              </w:rPr>
              <w:t>，特制定本自治條例。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第一條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屏東縣高樹鄉</w:t>
            </w:r>
            <w:r w:rsidRPr="00667500">
              <w:rPr>
                <w:rFonts w:ascii="標楷體" w:eastAsia="標楷體" w:hAnsi="標楷體" w:hint="eastAsia"/>
                <w:u w:val="single"/>
              </w:rPr>
              <w:t>公所</w:t>
            </w:r>
            <w:r w:rsidRPr="00CD0B50">
              <w:rPr>
                <w:rFonts w:ascii="標楷體" w:eastAsia="標楷體" w:hAnsi="標楷體" w:cs="Times New Roman" w:hint="eastAsia"/>
              </w:rPr>
              <w:t>(</w:t>
            </w:r>
            <w:r w:rsidRPr="00CD0B50">
              <w:rPr>
                <w:rFonts w:ascii="標楷體" w:eastAsia="標楷體" w:hAnsi="標楷體" w:hint="eastAsia"/>
              </w:rPr>
              <w:t>以下簡稱本</w:t>
            </w:r>
            <w:r w:rsidRPr="00667500">
              <w:rPr>
                <w:rFonts w:ascii="標楷體" w:eastAsia="標楷體" w:hAnsi="標楷體" w:hint="eastAsia"/>
                <w:u w:val="single"/>
              </w:rPr>
              <w:t>所</w:t>
            </w:r>
            <w:r w:rsidRPr="00CD0B50">
              <w:rPr>
                <w:rFonts w:ascii="標楷體" w:eastAsia="標楷體" w:hAnsi="標楷體" w:cs="Times New Roman" w:hint="eastAsia"/>
              </w:rPr>
              <w:t>)</w:t>
            </w:r>
            <w:r w:rsidRPr="00CD0B50">
              <w:rPr>
                <w:rFonts w:ascii="標楷體" w:eastAsia="標楷體" w:hAnsi="標楷體" w:hint="eastAsia"/>
              </w:rPr>
              <w:t>火化場所在地位於東興村，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且緊臨東振村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，</w:t>
            </w:r>
            <w:r w:rsidRPr="00667500">
              <w:rPr>
                <w:rFonts w:ascii="標楷體" w:eastAsia="標楷體" w:hAnsi="標楷體" w:hint="eastAsia"/>
                <w:u w:val="single"/>
              </w:rPr>
              <w:t>考量火化場喪事噪音、排放氣體長期影響上述村民生活安寧與健康維護</w:t>
            </w:r>
            <w:r w:rsidRPr="00CD0B50">
              <w:rPr>
                <w:rFonts w:ascii="標楷體" w:eastAsia="標楷體" w:hAnsi="標楷體" w:hint="eastAsia"/>
              </w:rPr>
              <w:t>，特制定本</w:t>
            </w:r>
            <w:r w:rsidRPr="00667500">
              <w:rPr>
                <w:rFonts w:ascii="標楷體" w:eastAsia="標楷體" w:hAnsi="標楷體" w:hint="eastAsia"/>
                <w:u w:val="single"/>
              </w:rPr>
              <w:t>補償金發放</w:t>
            </w:r>
            <w:r w:rsidRPr="00CD0B50">
              <w:rPr>
                <w:rFonts w:ascii="標楷體" w:eastAsia="標楷體" w:hAnsi="標楷體" w:hint="eastAsia"/>
              </w:rPr>
              <w:t>自治條例。</w:t>
            </w:r>
          </w:p>
        </w:tc>
        <w:tc>
          <w:tcPr>
            <w:tcW w:w="2091" w:type="dxa"/>
            <w:vMerge w:val="restart"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依據112年3月13日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屏府</w:t>
            </w:r>
            <w:r w:rsidR="00570D52">
              <w:rPr>
                <w:rFonts w:ascii="標楷體" w:eastAsia="標楷體" w:hAnsi="標楷體"/>
                <w:szCs w:val="24"/>
              </w:rPr>
              <w:t>民殯</w:t>
            </w:r>
            <w:proofErr w:type="gramEnd"/>
            <w:r w:rsidR="00570D52">
              <w:rPr>
                <w:rFonts w:ascii="標楷體" w:eastAsia="標楷體" w:hAnsi="標楷體"/>
                <w:szCs w:val="24"/>
              </w:rPr>
              <w:t>字第11209184000號函</w:t>
            </w:r>
            <w:r>
              <w:rPr>
                <w:rFonts w:ascii="標楷體" w:eastAsia="標楷體" w:hAnsi="標楷體"/>
                <w:szCs w:val="24"/>
              </w:rPr>
              <w:t>建議修正</w:t>
            </w:r>
            <w:r w:rsidR="00570D52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jc w:val="both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第二條 </w:t>
            </w:r>
          </w:p>
          <w:p w:rsidR="009805E8" w:rsidRPr="0066750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  <w:u w:val="single"/>
              </w:rPr>
            </w:pPr>
            <w:r w:rsidRPr="00667500">
              <w:rPr>
                <w:rFonts w:ascii="標楷體" w:eastAsia="標楷體" w:hAnsi="標楷體" w:hint="eastAsia"/>
                <w:u w:val="single"/>
              </w:rPr>
              <w:t>本自治條例之主管機關為屏東縣高樹鄉公所(以下簡稱本所)</w:t>
            </w:r>
            <w:r w:rsidR="00667500" w:rsidRPr="0019210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第二條 </w:t>
            </w:r>
          </w:p>
          <w:p w:rsidR="009805E8" w:rsidRPr="0066750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  <w:u w:val="single"/>
              </w:rPr>
            </w:pPr>
            <w:r w:rsidRPr="00667500">
              <w:rPr>
                <w:rFonts w:ascii="標楷體" w:eastAsia="標楷體" w:hAnsi="標楷體" w:hint="eastAsia"/>
                <w:u w:val="single"/>
              </w:rPr>
              <w:t>本條例係為落實公共福利政策，補償</w:t>
            </w:r>
            <w:proofErr w:type="gramStart"/>
            <w:r w:rsidRPr="00667500">
              <w:rPr>
                <w:rFonts w:ascii="標楷體" w:eastAsia="標楷體" w:hAnsi="標楷體" w:hint="eastAsia"/>
                <w:u w:val="single"/>
              </w:rPr>
              <w:t>東振村</w:t>
            </w:r>
            <w:proofErr w:type="gramEnd"/>
            <w:r w:rsidRPr="00667500">
              <w:rPr>
                <w:rFonts w:ascii="標楷體" w:eastAsia="標楷體" w:hAnsi="標楷體" w:hint="eastAsia"/>
                <w:u w:val="single"/>
              </w:rPr>
              <w:t>、東興村村民所受損害，以符公平正義原則為目的</w:t>
            </w:r>
            <w:r w:rsidRPr="0019210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第三條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</w:t>
            </w:r>
            <w:r w:rsidRPr="00667500">
              <w:rPr>
                <w:rFonts w:ascii="標楷體" w:eastAsia="標楷體" w:hAnsi="標楷體" w:hint="eastAsia"/>
                <w:u w:val="single"/>
              </w:rPr>
              <w:t>自治</w:t>
            </w:r>
            <w:r w:rsidRPr="00CD0B50">
              <w:rPr>
                <w:rFonts w:ascii="標楷體" w:eastAsia="標楷體" w:hAnsi="標楷體" w:hint="eastAsia"/>
              </w:rPr>
              <w:t>條例補償金發放對象，以本</w:t>
            </w:r>
            <w:r w:rsidRPr="00667500">
              <w:rPr>
                <w:rFonts w:ascii="標楷體" w:eastAsia="標楷體" w:hAnsi="標楷體" w:hint="eastAsia"/>
                <w:u w:val="single"/>
              </w:rPr>
              <w:t>自治</w:t>
            </w:r>
            <w:r w:rsidRPr="00CD0B50">
              <w:rPr>
                <w:rFonts w:ascii="標楷體" w:eastAsia="標楷體" w:hAnsi="標楷體" w:hint="eastAsia"/>
              </w:rPr>
              <w:t>條例</w:t>
            </w:r>
            <w:r w:rsidRPr="00667500">
              <w:rPr>
                <w:rFonts w:ascii="標楷體" w:eastAsia="標楷體" w:hAnsi="標楷體" w:hint="eastAsia"/>
                <w:u w:val="single"/>
              </w:rPr>
              <w:t>公</w:t>
            </w:r>
            <w:r w:rsidRPr="00CD0B50">
              <w:rPr>
                <w:rFonts w:ascii="標楷體" w:eastAsia="標楷體" w:hAnsi="標楷體" w:hint="eastAsia"/>
              </w:rPr>
              <w:t>布日</w:t>
            </w:r>
            <w:r w:rsidRPr="00667500">
              <w:rPr>
                <w:rFonts w:ascii="標楷體" w:eastAsia="標楷體" w:hAnsi="標楷體" w:hint="eastAsia"/>
                <w:u w:val="single"/>
              </w:rPr>
              <w:t>時</w:t>
            </w:r>
            <w:r w:rsidRPr="00CD0B50">
              <w:rPr>
                <w:rFonts w:ascii="標楷體" w:eastAsia="標楷體" w:hAnsi="標楷體" w:hint="eastAsia"/>
              </w:rPr>
              <w:t>，設籍</w:t>
            </w:r>
            <w:r w:rsidRPr="00667500">
              <w:rPr>
                <w:rFonts w:ascii="標楷體" w:eastAsia="標楷體" w:hAnsi="標楷體" w:hint="eastAsia"/>
                <w:u w:val="single"/>
              </w:rPr>
              <w:t>本鄉東興村、</w:t>
            </w:r>
            <w:proofErr w:type="gramStart"/>
            <w:r w:rsidRPr="00667500">
              <w:rPr>
                <w:rFonts w:ascii="標楷體" w:eastAsia="標楷體" w:hAnsi="標楷體" w:hint="eastAsia"/>
                <w:u w:val="single"/>
              </w:rPr>
              <w:t>東振村</w:t>
            </w:r>
            <w:r w:rsidRPr="00CD0B50">
              <w:rPr>
                <w:rFonts w:ascii="標楷體" w:eastAsia="標楷體" w:hAnsi="標楷體" w:hint="eastAsia"/>
              </w:rPr>
              <w:t>滿</w:t>
            </w:r>
            <w:proofErr w:type="gramEnd"/>
            <w:r w:rsidRPr="00667500">
              <w:rPr>
                <w:rFonts w:ascii="標楷體" w:eastAsia="標楷體" w:hAnsi="標楷體" w:hint="eastAsia"/>
                <w:u w:val="single"/>
              </w:rPr>
              <w:t>一</w:t>
            </w:r>
            <w:r w:rsidRPr="00CD0B50">
              <w:rPr>
                <w:rFonts w:ascii="標楷體" w:eastAsia="標楷體" w:hAnsi="標楷體" w:hint="eastAsia"/>
              </w:rPr>
              <w:t>年以上之村民；未滿</w:t>
            </w:r>
            <w:r w:rsidRPr="00667500">
              <w:rPr>
                <w:rFonts w:ascii="標楷體" w:eastAsia="標楷體" w:hAnsi="標楷體" w:hint="eastAsia"/>
                <w:u w:val="single"/>
              </w:rPr>
              <w:t>一</w:t>
            </w:r>
            <w:r w:rsidRPr="00CD0B50">
              <w:rPr>
                <w:rFonts w:ascii="標楷體" w:eastAsia="標楷體" w:hAnsi="標楷體" w:hint="eastAsia"/>
              </w:rPr>
              <w:t>歲之新生兒以其父親或母親符合發放資格，亦得領取。發放對象認定以戶政機關於發放日前</w:t>
            </w:r>
            <w:proofErr w:type="gramStart"/>
            <w:r w:rsidRPr="00667500">
              <w:rPr>
                <w:rFonts w:ascii="標楷體" w:eastAsia="標楷體" w:hAnsi="標楷體" w:hint="eastAsia"/>
                <w:u w:val="single"/>
              </w:rPr>
              <w:t>三</w:t>
            </w:r>
            <w:proofErr w:type="gramEnd"/>
            <w:r w:rsidRPr="00667500">
              <w:rPr>
                <w:rFonts w:ascii="標楷體" w:eastAsia="標楷體" w:hAnsi="標楷體" w:hint="eastAsia"/>
                <w:u w:val="single"/>
              </w:rPr>
              <w:t>十</w:t>
            </w:r>
            <w:r w:rsidRPr="00CD0B50">
              <w:rPr>
                <w:rFonts w:ascii="標楷體" w:eastAsia="標楷體" w:hAnsi="標楷體" w:hint="eastAsia"/>
              </w:rPr>
              <w:t>日提</w:t>
            </w:r>
            <w:r w:rsidRPr="00667500">
              <w:rPr>
                <w:rFonts w:ascii="標楷體" w:eastAsia="標楷體" w:hAnsi="標楷體" w:hint="eastAsia"/>
                <w:u w:val="single"/>
              </w:rPr>
              <w:t>供</w:t>
            </w:r>
            <w:r w:rsidRPr="00CD0B50">
              <w:rPr>
                <w:rFonts w:ascii="標楷體" w:eastAsia="標楷體" w:hAnsi="標楷體" w:hint="eastAsia"/>
              </w:rPr>
              <w:t>戶籍資料為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準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第三條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本條例補償金發放對象，以本條例</w:t>
            </w:r>
            <w:r w:rsidRPr="00667500">
              <w:rPr>
                <w:rFonts w:ascii="標楷體" w:eastAsia="標楷體" w:hAnsi="標楷體" w:hint="eastAsia"/>
                <w:u w:val="single"/>
              </w:rPr>
              <w:t>發</w:t>
            </w:r>
            <w:r w:rsidRPr="00CD0B50">
              <w:rPr>
                <w:rFonts w:ascii="標楷體" w:eastAsia="標楷體" w:hAnsi="標楷體" w:hint="eastAsia"/>
              </w:rPr>
              <w:t>布日</w:t>
            </w:r>
            <w:r w:rsidRPr="00667500">
              <w:rPr>
                <w:rFonts w:ascii="標楷體" w:eastAsia="標楷體" w:hAnsi="標楷體" w:hint="eastAsia"/>
                <w:u w:val="single"/>
              </w:rPr>
              <w:t>為基準</w:t>
            </w:r>
            <w:r w:rsidRPr="00CD0B50">
              <w:rPr>
                <w:rFonts w:ascii="標楷體" w:eastAsia="標楷體" w:hAnsi="標楷體" w:hint="eastAsia"/>
              </w:rPr>
              <w:t>，設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籍</w:t>
            </w:r>
            <w:r w:rsidRPr="00667500">
              <w:rPr>
                <w:rFonts w:ascii="標楷體" w:eastAsia="標楷體" w:hAnsi="標楷體" w:hint="eastAsia"/>
                <w:u w:val="single"/>
              </w:rPr>
              <w:t>東振村</w:t>
            </w:r>
            <w:proofErr w:type="gramEnd"/>
            <w:r w:rsidRPr="00667500">
              <w:rPr>
                <w:rFonts w:ascii="標楷體" w:eastAsia="標楷體" w:hAnsi="標楷體" w:hint="eastAsia"/>
                <w:u w:val="single"/>
              </w:rPr>
              <w:t>、東興村</w:t>
            </w:r>
            <w:r w:rsidRPr="00CD0B50">
              <w:rPr>
                <w:rFonts w:ascii="標楷體" w:eastAsia="標楷體" w:hAnsi="標楷體" w:hint="eastAsia"/>
              </w:rPr>
              <w:t>滿</w:t>
            </w:r>
            <w:r w:rsidRPr="00667500">
              <w:rPr>
                <w:rFonts w:ascii="標楷體" w:eastAsia="標楷體" w:hAnsi="標楷體" w:hint="eastAsia"/>
                <w:u w:val="single"/>
              </w:rPr>
              <w:t>1</w:t>
            </w:r>
            <w:r w:rsidRPr="00CD0B50">
              <w:rPr>
                <w:rFonts w:ascii="標楷體" w:eastAsia="標楷體" w:hAnsi="標楷體" w:hint="eastAsia"/>
              </w:rPr>
              <w:t>年以上之村民；未滿</w:t>
            </w:r>
            <w:r w:rsidRPr="00667500">
              <w:rPr>
                <w:rFonts w:ascii="標楷體" w:eastAsia="標楷體" w:hAnsi="標楷體" w:hint="eastAsia"/>
                <w:u w:val="single"/>
              </w:rPr>
              <w:t>1</w:t>
            </w:r>
            <w:r w:rsidRPr="00CD0B50">
              <w:rPr>
                <w:rFonts w:ascii="標楷體" w:eastAsia="標楷體" w:hAnsi="標楷體" w:hint="eastAsia"/>
              </w:rPr>
              <w:t>歲之新生兒以其父親或母親符合發放資格，亦得領取。發放對象認定以戶政機關於發放日前</w:t>
            </w:r>
            <w:proofErr w:type="gramStart"/>
            <w:r w:rsidRPr="00667500">
              <w:rPr>
                <w:rFonts w:ascii="標楷體" w:eastAsia="標楷體" w:hAnsi="標楷體" w:hint="eastAsia"/>
                <w:u w:val="single"/>
              </w:rPr>
              <w:t>30</w:t>
            </w:r>
            <w:r w:rsidRPr="00CD0B50">
              <w:rPr>
                <w:rFonts w:ascii="標楷體" w:eastAsia="標楷體" w:hAnsi="標楷體" w:hint="eastAsia"/>
              </w:rPr>
              <w:t>日提</w:t>
            </w:r>
            <w:r w:rsidRPr="00667500">
              <w:rPr>
                <w:rFonts w:ascii="標楷體" w:eastAsia="標楷體" w:hAnsi="標楷體" w:hint="eastAsia"/>
                <w:u w:val="single"/>
              </w:rPr>
              <w:t>共</w:t>
            </w:r>
            <w:r w:rsidRPr="00CD0B50">
              <w:rPr>
                <w:rFonts w:ascii="標楷體" w:eastAsia="標楷體" w:hAnsi="標楷體" w:hint="eastAsia"/>
              </w:rPr>
              <w:t>戶籍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資料為基準。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第四條 </w:t>
            </w:r>
          </w:p>
          <w:p w:rsidR="009805E8" w:rsidRPr="0019210E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19210E">
              <w:rPr>
                <w:rFonts w:ascii="標楷體" w:eastAsia="標楷體" w:hAnsi="標楷體" w:hint="eastAsia"/>
              </w:rPr>
              <w:t>符合</w:t>
            </w:r>
            <w:r w:rsidRPr="0019210E">
              <w:rPr>
                <w:rFonts w:ascii="標楷體" w:eastAsia="標楷體" w:hAnsi="標楷體" w:hint="eastAsia"/>
                <w:u w:val="single"/>
              </w:rPr>
              <w:t>前條規定</w:t>
            </w:r>
            <w:r w:rsidRPr="0019210E">
              <w:rPr>
                <w:rFonts w:ascii="標楷體" w:eastAsia="標楷體" w:hAnsi="標楷體" w:hint="eastAsia"/>
              </w:rPr>
              <w:t>受領資格之村民，每</w:t>
            </w:r>
            <w:r w:rsidRPr="0019210E">
              <w:rPr>
                <w:rFonts w:ascii="標楷體" w:eastAsia="標楷體" w:hAnsi="標楷體" w:hint="eastAsia"/>
                <w:u w:val="single"/>
              </w:rPr>
              <w:t>人</w:t>
            </w:r>
            <w:r w:rsidRPr="0019210E">
              <w:rPr>
                <w:rFonts w:ascii="標楷體" w:eastAsia="標楷體" w:hAnsi="標楷體" w:hint="eastAsia"/>
              </w:rPr>
              <w:t>每年</w:t>
            </w:r>
            <w:r w:rsidRPr="0019210E">
              <w:rPr>
                <w:rFonts w:ascii="標楷體" w:eastAsia="標楷體" w:hAnsi="標楷體" w:hint="eastAsia"/>
                <w:u w:val="single"/>
              </w:rPr>
              <w:t>三月發放補償金</w:t>
            </w:r>
            <w:r w:rsidRPr="0019210E">
              <w:rPr>
                <w:rFonts w:ascii="標楷體" w:eastAsia="標楷體" w:hAnsi="標楷體" w:hint="eastAsia"/>
              </w:rPr>
              <w:t>新臺幣</w:t>
            </w:r>
            <w:r w:rsidRPr="0019210E">
              <w:rPr>
                <w:rFonts w:ascii="標楷體" w:eastAsia="標楷體" w:hAnsi="標楷體" w:hint="eastAsia"/>
                <w:u w:val="single"/>
              </w:rPr>
              <w:t>五百</w:t>
            </w:r>
            <w:r w:rsidRPr="0019210E">
              <w:rPr>
                <w:rFonts w:ascii="標楷體" w:eastAsia="標楷體" w:hAnsi="標楷體" w:hint="eastAsia"/>
              </w:rPr>
              <w:t>元。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第四條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19210E">
              <w:rPr>
                <w:rFonts w:ascii="標楷體" w:eastAsia="標楷體" w:hAnsi="標楷體" w:hint="eastAsia"/>
                <w:u w:val="single"/>
              </w:rPr>
              <w:t>本條例所定補償金金額為</w:t>
            </w:r>
            <w:r w:rsidRPr="0019210E">
              <w:rPr>
                <w:rFonts w:ascii="標楷體" w:eastAsia="標楷體" w:hAnsi="標楷體" w:hint="eastAsia"/>
              </w:rPr>
              <w:t>符合</w:t>
            </w:r>
            <w:r w:rsidRPr="00CD0B50">
              <w:rPr>
                <w:rFonts w:ascii="標楷體" w:eastAsia="標楷體" w:hAnsi="標楷體" w:hint="eastAsia"/>
              </w:rPr>
              <w:t>受領資格之村民</w:t>
            </w:r>
            <w:r w:rsidRPr="0019210E">
              <w:rPr>
                <w:rFonts w:ascii="標楷體" w:eastAsia="標楷體" w:hAnsi="標楷體" w:hint="eastAsia"/>
              </w:rPr>
              <w:t>每</w:t>
            </w:r>
            <w:r w:rsidRPr="0019210E">
              <w:rPr>
                <w:rFonts w:ascii="標楷體" w:eastAsia="標楷體" w:hAnsi="標楷體" w:hint="eastAsia"/>
                <w:u w:val="single"/>
              </w:rPr>
              <w:t>位</w:t>
            </w:r>
            <w:r w:rsidRPr="00CD0B50">
              <w:rPr>
                <w:rFonts w:ascii="標楷體" w:eastAsia="標楷體" w:hAnsi="標楷體" w:hint="eastAsia"/>
              </w:rPr>
              <w:t>每年新臺幣</w:t>
            </w:r>
            <w:r w:rsidRPr="0019210E">
              <w:rPr>
                <w:rFonts w:ascii="標楷體" w:eastAsia="標楷體" w:hAnsi="標楷體" w:hint="eastAsia"/>
                <w:u w:val="single"/>
              </w:rPr>
              <w:t>500</w:t>
            </w:r>
            <w:r w:rsidRPr="00CD0B50">
              <w:rPr>
                <w:rFonts w:ascii="標楷體" w:eastAsia="標楷體" w:hAnsi="標楷體" w:hint="eastAsia"/>
              </w:rPr>
              <w:t>元</w:t>
            </w:r>
            <w:r w:rsidRPr="0019210E">
              <w:rPr>
                <w:rFonts w:ascii="標楷體" w:eastAsia="標楷體" w:hAnsi="標楷體" w:hint="eastAsia"/>
                <w:u w:val="single"/>
              </w:rPr>
              <w:t>整，於3月發放</w:t>
            </w:r>
            <w:r w:rsidRPr="00CD0B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第五條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19210E">
              <w:rPr>
                <w:rFonts w:ascii="標楷體" w:eastAsia="標楷體" w:hAnsi="標楷體" w:hint="eastAsia"/>
                <w:u w:val="single"/>
              </w:rPr>
              <w:t>位於本鄉東興村、</w:t>
            </w:r>
            <w:proofErr w:type="gramStart"/>
            <w:r w:rsidRPr="0019210E">
              <w:rPr>
                <w:rFonts w:ascii="標楷體" w:eastAsia="標楷體" w:hAnsi="標楷體" w:hint="eastAsia"/>
                <w:u w:val="single"/>
              </w:rPr>
              <w:t>東振村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轄內殯葬設施之興辦，如遇村民反對或抗拒情事，致該設施無法正常興建或營運時，本所</w:t>
            </w:r>
            <w:r w:rsidRPr="0019210E">
              <w:rPr>
                <w:rFonts w:ascii="標楷體" w:eastAsia="標楷體" w:hAnsi="標楷體" w:hint="eastAsia"/>
              </w:rPr>
              <w:t>得</w:t>
            </w:r>
            <w:r w:rsidRPr="0019210E">
              <w:rPr>
                <w:rFonts w:ascii="標楷體" w:eastAsia="標楷體" w:hAnsi="標楷體" w:hint="eastAsia"/>
                <w:u w:val="single"/>
              </w:rPr>
              <w:t>以公告停止發放補償金。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第五條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19210E">
              <w:rPr>
                <w:rFonts w:ascii="標楷體" w:eastAsia="標楷體" w:hAnsi="標楷體" w:hint="eastAsia"/>
                <w:u w:val="single"/>
              </w:rPr>
              <w:t>本鄉位於</w:t>
            </w:r>
            <w:proofErr w:type="gramStart"/>
            <w:r w:rsidRPr="0019210E">
              <w:rPr>
                <w:rFonts w:ascii="標楷體" w:eastAsia="標楷體" w:hAnsi="標楷體" w:hint="eastAsia"/>
                <w:u w:val="single"/>
              </w:rPr>
              <w:t>東振村</w:t>
            </w:r>
            <w:proofErr w:type="gramEnd"/>
            <w:r w:rsidRPr="0019210E">
              <w:rPr>
                <w:rFonts w:ascii="標楷體" w:eastAsia="標楷體" w:hAnsi="標楷體" w:hint="eastAsia"/>
                <w:u w:val="single"/>
              </w:rPr>
              <w:t>、東興村</w:t>
            </w:r>
            <w:r w:rsidRPr="00CD0B50">
              <w:rPr>
                <w:rFonts w:ascii="標楷體" w:eastAsia="標楷體" w:hAnsi="標楷體" w:hint="eastAsia"/>
              </w:rPr>
              <w:t>轄內殯葬設施之興辦，如遇村民反對或抗拒情事，致該設施無法正常興建或營運時，本所得</w:t>
            </w:r>
            <w:r w:rsidRPr="0019210E">
              <w:rPr>
                <w:rFonts w:ascii="標楷體" w:eastAsia="標楷體" w:hAnsi="標楷體" w:hint="eastAsia"/>
                <w:u w:val="single"/>
              </w:rPr>
              <w:t>暫停本補償條例</w:t>
            </w:r>
            <w:r w:rsidRPr="0019210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第六條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</w:t>
            </w:r>
            <w:r w:rsidRPr="0019210E">
              <w:rPr>
                <w:rFonts w:ascii="標楷體" w:eastAsia="標楷體" w:hAnsi="標楷體" w:hint="eastAsia"/>
                <w:u w:val="single"/>
              </w:rPr>
              <w:t>自治</w:t>
            </w:r>
            <w:r w:rsidRPr="00CD0B50">
              <w:rPr>
                <w:rFonts w:ascii="標楷體" w:eastAsia="標楷體" w:hAnsi="標楷體" w:hint="eastAsia"/>
              </w:rPr>
              <w:t>條例所需經費由本所編列預算支應，如財源不足時，</w:t>
            </w:r>
            <w:r w:rsidRPr="0019210E">
              <w:rPr>
                <w:rFonts w:ascii="標楷體" w:eastAsia="標楷體" w:hAnsi="標楷體" w:hint="eastAsia"/>
                <w:u w:val="single"/>
              </w:rPr>
              <w:t>本所</w:t>
            </w:r>
            <w:r w:rsidRPr="00CD0B50">
              <w:rPr>
                <w:rFonts w:ascii="標楷體" w:eastAsia="標楷體" w:hAnsi="標楷體" w:hint="eastAsia"/>
              </w:rPr>
              <w:t>得</w:t>
            </w:r>
            <w:r w:rsidRPr="0019210E">
              <w:rPr>
                <w:rFonts w:ascii="標楷體" w:eastAsia="標楷體" w:hAnsi="標楷體" w:hint="eastAsia"/>
                <w:u w:val="single"/>
              </w:rPr>
              <w:t>以公告停止發放</w:t>
            </w:r>
            <w:r w:rsidRPr="00CD0B50">
              <w:rPr>
                <w:rFonts w:ascii="標楷體" w:eastAsia="標楷體" w:hAnsi="標楷體" w:hint="eastAsia"/>
              </w:rPr>
              <w:t>補償</w:t>
            </w:r>
            <w:r w:rsidRPr="0019210E">
              <w:rPr>
                <w:rFonts w:ascii="標楷體" w:eastAsia="標楷體" w:hAnsi="標楷體" w:hint="eastAsia"/>
                <w:u w:val="single"/>
              </w:rPr>
              <w:t>金</w:t>
            </w:r>
            <w:r w:rsidRPr="00CD0B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45" w:type="dxa"/>
          </w:tcPr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第六條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</w:t>
            </w:r>
            <w:r w:rsidRPr="0019210E">
              <w:rPr>
                <w:rFonts w:ascii="標楷體" w:eastAsia="標楷體" w:hAnsi="標楷體" w:hint="eastAsia"/>
                <w:u w:val="single"/>
              </w:rPr>
              <w:t>補償</w:t>
            </w:r>
            <w:r w:rsidRPr="00CD0B50">
              <w:rPr>
                <w:rFonts w:ascii="標楷體" w:eastAsia="標楷體" w:hAnsi="標楷體" w:hint="eastAsia"/>
              </w:rPr>
              <w:t>條例所需經費由本所編列預算支應，如財源不足時，得</w:t>
            </w:r>
            <w:r w:rsidRPr="0019210E">
              <w:rPr>
                <w:rFonts w:ascii="標楷體" w:eastAsia="標楷體" w:hAnsi="標楷體" w:hint="eastAsia"/>
                <w:u w:val="single"/>
              </w:rPr>
              <w:t>暫停本</w:t>
            </w:r>
            <w:r w:rsidRPr="00CD0B50">
              <w:rPr>
                <w:rFonts w:ascii="標楷體" w:eastAsia="標楷體" w:hAnsi="標楷體" w:hint="eastAsia"/>
              </w:rPr>
              <w:t>補償</w:t>
            </w:r>
            <w:r w:rsidRPr="0019210E">
              <w:rPr>
                <w:rFonts w:ascii="標楷體" w:eastAsia="標楷體" w:hAnsi="標楷體" w:hint="eastAsia"/>
                <w:u w:val="single"/>
              </w:rPr>
              <w:t>條例</w:t>
            </w:r>
            <w:r w:rsidRPr="00CD0B5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第七條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</w:t>
            </w:r>
            <w:r w:rsidRPr="0019210E">
              <w:rPr>
                <w:rFonts w:ascii="標楷體" w:eastAsia="標楷體" w:hAnsi="標楷體" w:hint="eastAsia"/>
                <w:u w:val="single"/>
              </w:rPr>
              <w:t>自治</w:t>
            </w:r>
            <w:r w:rsidRPr="00CD0B50">
              <w:rPr>
                <w:rFonts w:ascii="標楷體" w:eastAsia="標楷體" w:hAnsi="標楷體" w:hint="eastAsia"/>
              </w:rPr>
              <w:t>條例未</w:t>
            </w:r>
            <w:r w:rsidRPr="0019210E">
              <w:rPr>
                <w:rFonts w:ascii="標楷體" w:eastAsia="標楷體" w:hAnsi="標楷體" w:hint="eastAsia"/>
                <w:u w:val="single"/>
              </w:rPr>
              <w:t>規定</w:t>
            </w:r>
            <w:r w:rsidRPr="00CD0B50">
              <w:rPr>
                <w:rFonts w:ascii="標楷體" w:eastAsia="標楷體" w:hAnsi="標楷體" w:hint="eastAsia"/>
              </w:rPr>
              <w:t>事項，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準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用其他相關法令之規定。</w:t>
            </w:r>
          </w:p>
        </w:tc>
        <w:tc>
          <w:tcPr>
            <w:tcW w:w="3545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第七條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本條例未</w:t>
            </w:r>
            <w:r w:rsidRPr="0019210E">
              <w:rPr>
                <w:rFonts w:ascii="標楷體" w:eastAsia="標楷體" w:hAnsi="標楷體" w:hint="eastAsia"/>
                <w:u w:val="single"/>
              </w:rPr>
              <w:t>盡</w:t>
            </w:r>
            <w:r w:rsidRPr="00CD0B50">
              <w:rPr>
                <w:rFonts w:ascii="標楷體" w:eastAsia="標楷體" w:hAnsi="標楷體" w:hint="eastAsia"/>
              </w:rPr>
              <w:t>事項，</w:t>
            </w:r>
            <w:proofErr w:type="gramStart"/>
            <w:r w:rsidRPr="00CD0B50">
              <w:rPr>
                <w:rFonts w:ascii="標楷體" w:eastAsia="標楷體" w:hAnsi="標楷體" w:hint="eastAsia"/>
              </w:rPr>
              <w:t>準</w:t>
            </w:r>
            <w:proofErr w:type="gramEnd"/>
            <w:r w:rsidRPr="00CD0B50">
              <w:rPr>
                <w:rFonts w:ascii="標楷體" w:eastAsia="標楷體" w:hAnsi="標楷體" w:hint="eastAsia"/>
              </w:rPr>
              <w:t>用其他相關法令之規定。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第八條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</w:t>
            </w:r>
            <w:r w:rsidRPr="0019210E">
              <w:rPr>
                <w:rFonts w:ascii="標楷體" w:eastAsia="標楷體" w:hAnsi="標楷體" w:hint="eastAsia"/>
                <w:u w:val="single"/>
              </w:rPr>
              <w:t>自治</w:t>
            </w:r>
            <w:r w:rsidRPr="00CD0B50">
              <w:rPr>
                <w:rFonts w:ascii="標楷體" w:eastAsia="標楷體" w:hAnsi="標楷體" w:hint="eastAsia"/>
              </w:rPr>
              <w:t>條例自</w:t>
            </w:r>
            <w:r w:rsidRPr="0019210E">
              <w:rPr>
                <w:rFonts w:ascii="標楷體" w:eastAsia="標楷體" w:hAnsi="標楷體" w:hint="eastAsia"/>
                <w:u w:val="single"/>
              </w:rPr>
              <w:t>公</w:t>
            </w:r>
            <w:r w:rsidRPr="00CD0B50">
              <w:rPr>
                <w:rFonts w:ascii="標楷體" w:eastAsia="標楷體" w:hAnsi="標楷體" w:hint="eastAsia"/>
              </w:rPr>
              <w:t>布日施行。</w:t>
            </w:r>
          </w:p>
        </w:tc>
        <w:tc>
          <w:tcPr>
            <w:tcW w:w="3545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第八條 </w:t>
            </w:r>
          </w:p>
          <w:p w:rsidR="009805E8" w:rsidRPr="00350AA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  <w:u w:val="single"/>
              </w:rPr>
            </w:pPr>
            <w:r w:rsidRPr="00350AA0">
              <w:rPr>
                <w:rFonts w:ascii="標楷體" w:eastAsia="標楷體" w:hAnsi="標楷體" w:hint="eastAsia"/>
                <w:u w:val="single"/>
              </w:rPr>
              <w:t>本自治條例之主管機關為屏東縣高樹鄉公所。</w:t>
            </w:r>
          </w:p>
        </w:tc>
        <w:tc>
          <w:tcPr>
            <w:tcW w:w="2091" w:type="dxa"/>
            <w:vMerge w:val="restart"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9805E8" w:rsidRPr="00CD0B50" w:rsidTr="00667500">
        <w:tc>
          <w:tcPr>
            <w:tcW w:w="3510" w:type="dxa"/>
          </w:tcPr>
          <w:p w:rsidR="009805E8" w:rsidRPr="00CD0B50" w:rsidRDefault="009805E8" w:rsidP="009805E8">
            <w:pPr>
              <w:spacing w:before="120" w:after="120"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5" w:type="dxa"/>
          </w:tcPr>
          <w:p w:rsidR="009805E8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 xml:space="preserve">第九條 </w:t>
            </w:r>
          </w:p>
          <w:p w:rsidR="009805E8" w:rsidRPr="00CD0B50" w:rsidRDefault="009805E8" w:rsidP="009805E8">
            <w:pPr>
              <w:pStyle w:val="cjk"/>
              <w:spacing w:before="120" w:beforeAutospacing="0" w:after="120" w:line="240" w:lineRule="exact"/>
              <w:rPr>
                <w:rFonts w:ascii="標楷體" w:eastAsia="標楷體" w:hAnsi="標楷體"/>
              </w:rPr>
            </w:pPr>
            <w:r w:rsidRPr="00CD0B50">
              <w:rPr>
                <w:rFonts w:ascii="標楷體" w:eastAsia="標楷體" w:hAnsi="標楷體" w:hint="eastAsia"/>
              </w:rPr>
              <w:t>本條例自</w:t>
            </w:r>
            <w:r w:rsidRPr="0019210E">
              <w:rPr>
                <w:rFonts w:ascii="標楷體" w:eastAsia="標楷體" w:hAnsi="標楷體" w:hint="eastAsia"/>
                <w:u w:val="single"/>
              </w:rPr>
              <w:t>發</w:t>
            </w:r>
            <w:r w:rsidRPr="00CD0B50">
              <w:rPr>
                <w:rFonts w:ascii="標楷體" w:eastAsia="標楷體" w:hAnsi="標楷體" w:hint="eastAsia"/>
              </w:rPr>
              <w:t>布日施行。</w:t>
            </w:r>
          </w:p>
        </w:tc>
        <w:tc>
          <w:tcPr>
            <w:tcW w:w="2091" w:type="dxa"/>
            <w:vMerge/>
          </w:tcPr>
          <w:p w:rsidR="009805E8" w:rsidRPr="00CD0B50" w:rsidRDefault="009805E8" w:rsidP="00CD0B5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2F75C0" w:rsidRPr="002F75C0" w:rsidRDefault="002F75C0" w:rsidP="002F75C0">
      <w:bookmarkStart w:id="0" w:name="_GoBack"/>
      <w:bookmarkEnd w:id="0"/>
    </w:p>
    <w:sectPr w:rsidR="002F75C0" w:rsidRPr="002F75C0" w:rsidSect="00142D5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00" w:rsidRDefault="00CE3E00" w:rsidP="00C407D6">
      <w:r>
        <w:separator/>
      </w:r>
    </w:p>
  </w:endnote>
  <w:endnote w:type="continuationSeparator" w:id="0">
    <w:p w:rsidR="00CE3E00" w:rsidRDefault="00CE3E00" w:rsidP="00C4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00" w:rsidRDefault="00CE3E00" w:rsidP="00C407D6">
      <w:r>
        <w:separator/>
      </w:r>
    </w:p>
  </w:footnote>
  <w:footnote w:type="continuationSeparator" w:id="0">
    <w:p w:rsidR="00CE3E00" w:rsidRDefault="00CE3E00" w:rsidP="00C40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0"/>
    <w:rsid w:val="000D1C85"/>
    <w:rsid w:val="00142D53"/>
    <w:rsid w:val="0019210E"/>
    <w:rsid w:val="00234D68"/>
    <w:rsid w:val="002F75C0"/>
    <w:rsid w:val="00350AA0"/>
    <w:rsid w:val="00570D52"/>
    <w:rsid w:val="00667500"/>
    <w:rsid w:val="009805E8"/>
    <w:rsid w:val="00C407D6"/>
    <w:rsid w:val="00C7042D"/>
    <w:rsid w:val="00CD0B50"/>
    <w:rsid w:val="00C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F75C0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4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7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7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rsid w:val="002F75C0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4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07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07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07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2023-07-03T01:25:00Z</cp:lastPrinted>
  <dcterms:created xsi:type="dcterms:W3CDTF">2023-03-17T04:53:00Z</dcterms:created>
  <dcterms:modified xsi:type="dcterms:W3CDTF">2023-07-03T01:44:00Z</dcterms:modified>
</cp:coreProperties>
</file>